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jc w:val="center"/>
        <w:rPr>
          <w:lang w:val="zh-TW" w:eastAsia="zh-TW"/>
        </w:rPr>
      </w:pPr>
      <w:r>
        <w:rPr>
          <w:lang w:val="zh-TW" w:eastAsia="zh-TW"/>
        </w:rPr>
        <mc:AlternateContent>
          <mc:Choice Requires="wps">
            <w:drawing>
              <wp:anchor distT="152400" distB="152400" distL="152400" distR="152400" simplePos="0" relativeHeight="251659264" behindDoc="0" locked="0" layoutInCell="1" allowOverlap="1">
                <wp:simplePos x="0" y="0"/>
                <wp:positionH relativeFrom="margin">
                  <wp:posOffset>-254056</wp:posOffset>
                </wp:positionH>
                <wp:positionV relativeFrom="page">
                  <wp:posOffset>1326420</wp:posOffset>
                </wp:positionV>
                <wp:extent cx="5828143"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5828143" cy="0"/>
                        </a:xfrm>
                        <a:prstGeom prst="line">
                          <a:avLst/>
                        </a:prstGeom>
                        <a:noFill/>
                        <a:ln w="9525" cap="flat">
                          <a:solidFill>
                            <a:srgbClr val="000000"/>
                          </a:solidFill>
                          <a:prstDash val="solid"/>
                          <a:miter lim="400000"/>
                        </a:ln>
                        <a:effectLst/>
                      </wps:spPr>
                      <wps:bodyPr/>
                    </wps:wsp>
                  </a:graphicData>
                </a:graphic>
              </wp:anchor>
            </w:drawing>
          </mc:Choice>
          <mc:Fallback>
            <w:pict>
              <v:line id="_x0000_s1026" style="visibility:visible;position:absolute;margin-left:-20.0pt;margin-top:104.4pt;width:458.9pt;height:0.0pt;z-index:251659264;mso-position-horizontal:absolute;mso-position-horizontal-relative:margin;mso-position-vertical:absolute;mso-position-vertical-relative:page;mso-wrap-distance-left:12.0pt;mso-wrap-distance-top:12.0pt;mso-wrap-distance-right:12.0pt;mso-wrap-distance-bottom:12.0pt;">
                <v:fill on="f"/>
                <v:stroke filltype="solid" color="#000000" opacity="100.0%" weight="0.8pt" dashstyle="solid" endcap="flat" miterlimit="400.0%" joinstyle="miter" linestyle="single" startarrow="none" startarrowwidth="medium" startarrowlength="medium" endarrow="none" endarrowwidth="medium" endarrowlength="medium"/>
                <w10:wrap type="topAndBottom" side="bothSides" anchorx="margin" anchory="page"/>
              </v:line>
            </w:pict>
          </mc:Fallback>
        </mc:AlternateContent>
      </w:r>
    </w:p>
    <w:p>
      <w:pPr>
        <w:pStyle w:val="Normal.0"/>
        <w:spacing w:line="360" w:lineRule="auto"/>
        <w:jc w:val="center"/>
        <w:rPr>
          <w:rFonts w:ascii="標楷體" w:cs="標楷體" w:hAnsi="標楷體" w:eastAsia="標楷體"/>
          <w:sz w:val="32"/>
          <w:szCs w:val="32"/>
          <w:lang w:val="zh-TW" w:eastAsia="zh-TW"/>
        </w:rPr>
      </w:pPr>
      <w:r>
        <w:rPr>
          <w:rFonts w:eastAsia="標楷體" w:hint="eastAsia"/>
          <w:sz w:val="32"/>
          <w:szCs w:val="32"/>
          <w:rtl w:val="0"/>
          <w:lang w:val="zh-TW" w:eastAsia="zh-TW"/>
        </w:rPr>
        <w:t>國際社會福利協會中華民國總會簡介</w:t>
      </w:r>
    </w:p>
    <w:p>
      <w:pPr>
        <w:pStyle w:val="Normal.0"/>
        <w:spacing w:line="360" w:lineRule="auto"/>
        <w:ind w:firstLine="480"/>
        <w:jc w:val="both"/>
        <w:rPr>
          <w:rFonts w:ascii="標楷體" w:cs="標楷體" w:hAnsi="標楷體" w:eastAsia="標楷體"/>
        </w:rPr>
      </w:pPr>
    </w:p>
    <w:p>
      <w:pPr>
        <w:pStyle w:val="Normal.0"/>
        <w:spacing w:line="360" w:lineRule="auto"/>
        <w:ind w:firstLine="480"/>
        <w:jc w:val="both"/>
        <w:rPr>
          <w:rFonts w:ascii="標楷體" w:cs="標楷體" w:hAnsi="標楷體" w:eastAsia="標楷體"/>
        </w:rPr>
      </w:pPr>
      <w:r>
        <w:rPr>
          <w:rFonts w:eastAsia="標楷體" w:hint="eastAsia"/>
          <w:rtl w:val="0"/>
          <w:lang w:val="zh-TW" w:eastAsia="zh-TW"/>
        </w:rPr>
        <w:t>國際社會福利協會</w:t>
      </w:r>
      <w:r>
        <w:rPr>
          <w:rFonts w:ascii="標楷體" w:hAnsi="標楷體"/>
          <w:rtl w:val="0"/>
          <w:lang w:val="en-US"/>
        </w:rPr>
        <w:t>(International Council on Social Welfare</w:t>
      </w:r>
      <w:r>
        <w:rPr>
          <w:rFonts w:eastAsia="標楷體" w:hint="eastAsia"/>
          <w:rtl w:val="0"/>
          <w:lang w:val="zh-TW" w:eastAsia="zh-TW"/>
        </w:rPr>
        <w:t xml:space="preserve">，簡稱 </w:t>
      </w:r>
      <w:r>
        <w:rPr>
          <w:rFonts w:ascii="標楷體" w:hAnsi="標楷體"/>
          <w:rtl w:val="0"/>
          <w:lang w:val="en-US"/>
        </w:rPr>
        <w:t>ICSW)</w:t>
      </w:r>
      <w:r>
        <w:rPr>
          <w:rFonts w:eastAsia="標楷體" w:hint="eastAsia"/>
          <w:rtl w:val="0"/>
          <w:lang w:val="zh-TW" w:eastAsia="zh-TW"/>
        </w:rPr>
        <w:t>成立於</w:t>
      </w:r>
      <w:r>
        <w:rPr>
          <w:rFonts w:ascii="標楷體" w:hAnsi="標楷體"/>
          <w:rtl w:val="0"/>
          <w:lang w:val="en-US"/>
        </w:rPr>
        <w:t>1928</w:t>
      </w:r>
      <w:r>
        <w:rPr>
          <w:rFonts w:eastAsia="標楷體" w:hint="eastAsia"/>
          <w:rtl w:val="0"/>
          <w:lang w:val="zh-TW" w:eastAsia="zh-TW"/>
        </w:rPr>
        <w:t>年，是一個獨立性、非政府、非政治、非宗教、非營利的永久性國際團體，其宗旨在於促進各國社會福利的發展與倡議，提供社會福利與社會工作專業人員的經驗交流平台，並進行知識建構及技術支援；</w:t>
      </w:r>
      <w:r>
        <w:rPr>
          <w:rFonts w:ascii="標楷體" w:hAnsi="標楷體"/>
          <w:rtl w:val="0"/>
          <w:lang w:val="en-US"/>
        </w:rPr>
        <w:t>ICSW</w:t>
      </w:r>
      <w:r>
        <w:rPr>
          <w:rFonts w:eastAsia="標楷體" w:hint="eastAsia"/>
          <w:rtl w:val="0"/>
          <w:lang w:val="zh-TW" w:eastAsia="zh-TW"/>
        </w:rPr>
        <w:t>同時也是聯合國經社理事會、教科文組織、兒童基金會、歐洲理事會、國際勞工局、泛美聯盟以及地區性政府組織等單位的最高層級諮詢單位，在國際事務中有著極深遠的影響力。</w:t>
      </w:r>
    </w:p>
    <w:p>
      <w:pPr>
        <w:pStyle w:val="Normal.0"/>
        <w:spacing w:line="360" w:lineRule="auto"/>
        <w:jc w:val="both"/>
        <w:rPr>
          <w:rFonts w:ascii="標楷體" w:cs="標楷體" w:hAnsi="標楷體" w:eastAsia="標楷體"/>
        </w:rPr>
      </w:pPr>
    </w:p>
    <w:p>
      <w:pPr>
        <w:pStyle w:val="Normal.0"/>
        <w:spacing w:line="360" w:lineRule="auto"/>
        <w:ind w:firstLine="480"/>
        <w:jc w:val="both"/>
        <w:rPr>
          <w:rFonts w:ascii="標楷體" w:cs="標楷體" w:hAnsi="標楷體" w:eastAsia="標楷體"/>
          <w:lang w:val="zh-TW" w:eastAsia="zh-TW"/>
        </w:rPr>
      </w:pPr>
      <w:r>
        <w:rPr>
          <w:rFonts w:eastAsia="標楷體" w:hint="eastAsia"/>
          <w:rtl w:val="0"/>
          <w:lang w:val="zh-TW" w:eastAsia="zh-TW"/>
        </w:rPr>
        <w:t>為推動我國與國際社會福利組織之交流，我國的社會福利專家學者及團體於</w:t>
      </w:r>
      <w:r>
        <w:rPr>
          <w:rFonts w:ascii="標楷體" w:hAnsi="標楷體"/>
          <w:rtl w:val="0"/>
          <w:lang w:val="en-US"/>
        </w:rPr>
        <w:t>1967</w:t>
      </w:r>
      <w:r>
        <w:rPr>
          <w:rFonts w:eastAsia="標楷體" w:hint="eastAsia"/>
          <w:rtl w:val="0"/>
          <w:lang w:val="zh-TW" w:eastAsia="zh-TW"/>
        </w:rPr>
        <w:t>年</w:t>
      </w:r>
      <w:r>
        <w:rPr>
          <w:rFonts w:ascii="標楷體" w:hAnsi="標楷體"/>
          <w:rtl w:val="0"/>
          <w:lang w:val="en-US"/>
        </w:rPr>
        <w:t>6</w:t>
      </w:r>
      <w:r>
        <w:rPr>
          <w:rFonts w:eastAsia="標楷體" w:hint="eastAsia"/>
          <w:rtl w:val="0"/>
          <w:lang w:val="zh-TW" w:eastAsia="zh-TW"/>
        </w:rPr>
        <w:t>月</w:t>
      </w:r>
      <w:r>
        <w:rPr>
          <w:rFonts w:ascii="標楷體" w:hAnsi="標楷體"/>
          <w:rtl w:val="0"/>
          <w:lang w:val="en-US"/>
        </w:rPr>
        <w:t>17</w:t>
      </w:r>
      <w:r>
        <w:rPr>
          <w:rFonts w:eastAsia="標楷體" w:hint="eastAsia"/>
          <w:rtl w:val="0"/>
          <w:lang w:val="zh-TW" w:eastAsia="zh-TW"/>
        </w:rPr>
        <w:t>日成立「國際社會福利協會中國委員會」，在陸京士主席、任佩玉教授、丁碧雲教授等先進的奔走下，於</w:t>
      </w:r>
      <w:r>
        <w:rPr>
          <w:rFonts w:ascii="標楷體" w:hAnsi="標楷體"/>
          <w:rtl w:val="0"/>
          <w:lang w:val="en-US"/>
        </w:rPr>
        <w:t>1968</w:t>
      </w:r>
      <w:r>
        <w:rPr>
          <w:rFonts w:eastAsia="標楷體" w:hint="eastAsia"/>
          <w:rtl w:val="0"/>
          <w:lang w:val="zh-TW" w:eastAsia="zh-TW"/>
        </w:rPr>
        <w:t>年芬蘭赫爾辛基第</w:t>
      </w:r>
      <w:r>
        <w:rPr>
          <w:rFonts w:ascii="標楷體" w:hAnsi="標楷體"/>
          <w:rtl w:val="0"/>
          <w:lang w:val="en-US"/>
        </w:rPr>
        <w:t>14</w:t>
      </w:r>
      <w:r>
        <w:rPr>
          <w:rFonts w:eastAsia="標楷體" w:hint="eastAsia"/>
          <w:rtl w:val="0"/>
          <w:lang w:val="zh-TW" w:eastAsia="zh-TW"/>
        </w:rPr>
        <w:t>屆大會時申請加入國際社會福利協會，</w:t>
      </w:r>
      <w:r>
        <w:rPr>
          <w:rFonts w:eastAsia="標楷體" w:hint="eastAsia"/>
          <w:color w:val="000000"/>
          <w:u w:color="000000"/>
          <w:rtl w:val="0"/>
          <w:lang w:val="zh-TW" w:eastAsia="zh-TW"/>
        </w:rPr>
        <w:t>並於</w:t>
      </w:r>
      <w:r>
        <w:rPr>
          <w:rFonts w:ascii="標楷體" w:hAnsi="標楷體"/>
          <w:color w:val="000000"/>
          <w:u w:color="000000"/>
          <w:rtl w:val="0"/>
          <w:lang w:val="en-US"/>
        </w:rPr>
        <w:t>1969</w:t>
      </w:r>
      <w:r>
        <w:rPr>
          <w:rFonts w:eastAsia="標楷體" w:hint="eastAsia"/>
          <w:color w:val="000000"/>
          <w:u w:color="000000"/>
          <w:rtl w:val="0"/>
          <w:lang w:val="zh-TW" w:eastAsia="zh-TW"/>
        </w:rPr>
        <w:t>年</w:t>
      </w:r>
      <w:r>
        <w:rPr>
          <w:rFonts w:ascii="標楷體" w:hAnsi="標楷體"/>
          <w:color w:val="000000"/>
          <w:u w:color="000000"/>
          <w:rtl w:val="0"/>
          <w:lang w:val="en-US"/>
        </w:rPr>
        <w:t>8</w:t>
      </w:r>
      <w:r>
        <w:rPr>
          <w:rFonts w:eastAsia="標楷體" w:hint="eastAsia"/>
          <w:color w:val="000000"/>
          <w:u w:color="000000"/>
          <w:rtl w:val="0"/>
          <w:lang w:val="zh-TW" w:eastAsia="zh-TW"/>
        </w:rPr>
        <w:t>月獲批准通過，</w:t>
      </w:r>
      <w:r>
        <w:rPr>
          <w:rFonts w:eastAsia="標楷體" w:hint="eastAsia"/>
          <w:rtl w:val="0"/>
          <w:lang w:val="zh-TW" w:eastAsia="zh-TW"/>
        </w:rPr>
        <w:t>成為國際社會福利協會之正式會員。其後，本會於</w:t>
      </w:r>
      <w:r>
        <w:rPr>
          <w:rFonts w:ascii="標楷體" w:hAnsi="標楷體"/>
          <w:rtl w:val="0"/>
          <w:lang w:val="en-US"/>
        </w:rPr>
        <w:t>1987</w:t>
      </w:r>
      <w:r>
        <w:rPr>
          <w:rFonts w:eastAsia="標楷體" w:hint="eastAsia"/>
          <w:rtl w:val="0"/>
          <w:lang w:val="zh-TW" w:eastAsia="zh-TW"/>
        </w:rPr>
        <w:t xml:space="preserve">年更名為「國際社會福利協會中華民國總會」，在歷屆饒穎奇理事長 </w:t>
      </w:r>
      <w:r>
        <w:rPr>
          <w:rFonts w:ascii="標楷體" w:hAnsi="標楷體"/>
          <w:rtl w:val="0"/>
          <w:lang w:val="en-US"/>
        </w:rPr>
        <w:t>(</w:t>
      </w:r>
      <w:r>
        <w:rPr>
          <w:rFonts w:eastAsia="標楷體" w:hint="eastAsia"/>
          <w:rtl w:val="0"/>
          <w:lang w:val="zh-TW" w:eastAsia="zh-TW"/>
        </w:rPr>
        <w:t>第</w:t>
      </w:r>
      <w:r>
        <w:rPr>
          <w:rFonts w:ascii="標楷體" w:hAnsi="標楷體"/>
          <w:rtl w:val="0"/>
          <w:lang w:val="en-US"/>
        </w:rPr>
        <w:t>1</w:t>
      </w:r>
      <w:r>
        <w:rPr>
          <w:rFonts w:eastAsia="標楷體" w:hint="eastAsia"/>
          <w:rtl w:val="0"/>
          <w:lang w:val="zh-TW" w:eastAsia="zh-TW"/>
        </w:rPr>
        <w:t>、</w:t>
      </w:r>
      <w:r>
        <w:rPr>
          <w:rFonts w:ascii="標楷體" w:hAnsi="標楷體"/>
          <w:rtl w:val="0"/>
          <w:lang w:val="en-US"/>
        </w:rPr>
        <w:t>2</w:t>
      </w:r>
      <w:r>
        <w:rPr>
          <w:rFonts w:eastAsia="標楷體" w:hint="eastAsia"/>
          <w:rtl w:val="0"/>
          <w:lang w:val="zh-TW" w:eastAsia="zh-TW"/>
        </w:rPr>
        <w:t>屆</w:t>
      </w:r>
      <w:r>
        <w:rPr>
          <w:rFonts w:ascii="標楷體" w:hAnsi="標楷體"/>
          <w:rtl w:val="0"/>
          <w:lang w:val="en-US"/>
        </w:rPr>
        <w:t>)</w:t>
      </w:r>
      <w:r>
        <w:rPr>
          <w:rFonts w:eastAsia="標楷體" w:hint="eastAsia"/>
          <w:rtl w:val="0"/>
          <w:lang w:val="zh-TW" w:eastAsia="zh-TW"/>
        </w:rPr>
        <w:t>、趙守博理事長</w:t>
      </w:r>
      <w:r>
        <w:rPr>
          <w:rFonts w:ascii="標楷體" w:hAnsi="標楷體"/>
          <w:rtl w:val="0"/>
          <w:lang w:val="en-US"/>
        </w:rPr>
        <w:t>(</w:t>
      </w:r>
      <w:r>
        <w:rPr>
          <w:rFonts w:eastAsia="標楷體" w:hint="eastAsia"/>
          <w:rtl w:val="0"/>
          <w:lang w:val="zh-TW" w:eastAsia="zh-TW"/>
        </w:rPr>
        <w:t>第</w:t>
      </w:r>
      <w:r>
        <w:rPr>
          <w:rFonts w:ascii="標楷體" w:hAnsi="標楷體"/>
          <w:rtl w:val="0"/>
          <w:lang w:val="en-US"/>
        </w:rPr>
        <w:t>3</w:t>
      </w:r>
      <w:r>
        <w:rPr>
          <w:rFonts w:eastAsia="標楷體" w:hint="eastAsia"/>
          <w:rtl w:val="0"/>
          <w:lang w:val="zh-TW" w:eastAsia="zh-TW"/>
        </w:rPr>
        <w:t>、</w:t>
      </w:r>
      <w:r>
        <w:rPr>
          <w:rFonts w:ascii="標楷體" w:hAnsi="標楷體"/>
          <w:rtl w:val="0"/>
          <w:lang w:val="en-US"/>
        </w:rPr>
        <w:t>4</w:t>
      </w:r>
      <w:r>
        <w:rPr>
          <w:rFonts w:eastAsia="標楷體" w:hint="eastAsia"/>
          <w:rtl w:val="0"/>
          <w:lang w:val="zh-TW" w:eastAsia="zh-TW"/>
        </w:rPr>
        <w:t>屆</w:t>
      </w:r>
      <w:r>
        <w:rPr>
          <w:rFonts w:ascii="標楷體" w:hAnsi="標楷體"/>
          <w:rtl w:val="0"/>
          <w:lang w:val="en-US"/>
        </w:rPr>
        <w:t>)</w:t>
      </w:r>
      <w:r>
        <w:rPr>
          <w:rFonts w:eastAsia="標楷體" w:hint="eastAsia"/>
          <w:rtl w:val="0"/>
          <w:lang w:val="zh-TW" w:eastAsia="zh-TW"/>
        </w:rPr>
        <w:t>、白秀雄理事長</w:t>
      </w:r>
      <w:r>
        <w:rPr>
          <w:rFonts w:ascii="標楷體" w:hAnsi="標楷體"/>
          <w:rtl w:val="0"/>
          <w:lang w:val="en-US"/>
        </w:rPr>
        <w:t>(</w:t>
      </w:r>
      <w:r>
        <w:rPr>
          <w:rFonts w:eastAsia="標楷體" w:hint="eastAsia"/>
          <w:rtl w:val="0"/>
          <w:lang w:val="zh-TW" w:eastAsia="zh-TW"/>
        </w:rPr>
        <w:t>第</w:t>
      </w:r>
      <w:r>
        <w:rPr>
          <w:rFonts w:ascii="標楷體" w:hAnsi="標楷體"/>
          <w:rtl w:val="0"/>
          <w:lang w:val="en-US"/>
        </w:rPr>
        <w:t>5</w:t>
      </w:r>
      <w:r>
        <w:rPr>
          <w:rFonts w:eastAsia="標楷體" w:hint="eastAsia"/>
          <w:rtl w:val="0"/>
          <w:lang w:val="zh-TW" w:eastAsia="zh-TW"/>
        </w:rPr>
        <w:t>、</w:t>
      </w:r>
      <w:r>
        <w:rPr>
          <w:rFonts w:ascii="標楷體" w:hAnsi="標楷體"/>
          <w:rtl w:val="0"/>
          <w:lang w:val="en-US"/>
        </w:rPr>
        <w:t>6</w:t>
      </w:r>
      <w:r>
        <w:rPr>
          <w:rFonts w:eastAsia="標楷體" w:hint="eastAsia"/>
          <w:rtl w:val="0"/>
          <w:lang w:val="zh-TW" w:eastAsia="zh-TW"/>
        </w:rPr>
        <w:t>屆</w:t>
      </w:r>
      <w:r>
        <w:rPr>
          <w:rFonts w:ascii="標楷體" w:hAnsi="標楷體"/>
          <w:rtl w:val="0"/>
          <w:lang w:val="en-US"/>
        </w:rPr>
        <w:t>)</w:t>
      </w:r>
      <w:r>
        <w:rPr>
          <w:rFonts w:eastAsia="標楷體" w:hint="eastAsia"/>
          <w:rtl w:val="0"/>
          <w:lang w:val="zh-TW" w:eastAsia="zh-TW"/>
        </w:rPr>
        <w:t>、詹火生理事長</w:t>
      </w:r>
      <w:r>
        <w:rPr>
          <w:rFonts w:ascii="標楷體" w:hAnsi="標楷體"/>
          <w:rtl w:val="0"/>
          <w:lang w:val="en-US"/>
        </w:rPr>
        <w:t>(</w:t>
      </w:r>
      <w:r>
        <w:rPr>
          <w:rFonts w:eastAsia="標楷體" w:hint="eastAsia"/>
          <w:rtl w:val="0"/>
          <w:lang w:val="zh-TW" w:eastAsia="zh-TW"/>
        </w:rPr>
        <w:t>第</w:t>
      </w:r>
      <w:r>
        <w:rPr>
          <w:rFonts w:ascii="標楷體" w:hAnsi="標楷體"/>
          <w:rtl w:val="0"/>
          <w:lang w:val="en-US"/>
        </w:rPr>
        <w:t>7</w:t>
      </w:r>
      <w:r>
        <w:rPr>
          <w:rFonts w:eastAsia="標楷體" w:hint="eastAsia"/>
          <w:rtl w:val="0"/>
          <w:lang w:val="zh-TW" w:eastAsia="zh-TW"/>
        </w:rPr>
        <w:t>屆</w:t>
      </w:r>
      <w:r>
        <w:rPr>
          <w:rFonts w:ascii="標楷體" w:hAnsi="標楷體"/>
          <w:rtl w:val="0"/>
          <w:lang w:val="en-US"/>
        </w:rPr>
        <w:t>)</w:t>
      </w:r>
      <w:r>
        <w:rPr>
          <w:rFonts w:eastAsia="標楷體" w:hint="eastAsia"/>
          <w:rtl w:val="0"/>
          <w:lang w:val="zh-TW" w:eastAsia="zh-TW"/>
        </w:rPr>
        <w:t>、馮燕理事長</w:t>
      </w:r>
      <w:r>
        <w:rPr>
          <w:rFonts w:ascii="標楷體" w:hAnsi="標楷體"/>
          <w:rtl w:val="0"/>
          <w:lang w:val="en-US"/>
        </w:rPr>
        <w:t>(</w:t>
      </w:r>
      <w:r>
        <w:rPr>
          <w:rFonts w:eastAsia="標楷體" w:hint="eastAsia"/>
          <w:rtl w:val="0"/>
          <w:lang w:val="zh-TW" w:eastAsia="zh-TW"/>
        </w:rPr>
        <w:t>第</w:t>
      </w:r>
      <w:r>
        <w:rPr>
          <w:rFonts w:ascii="標楷體" w:hAnsi="標楷體"/>
          <w:rtl w:val="0"/>
          <w:lang w:val="en-US"/>
        </w:rPr>
        <w:t>8</w:t>
      </w:r>
      <w:r>
        <w:rPr>
          <w:rFonts w:eastAsia="標楷體" w:hint="eastAsia"/>
          <w:rtl w:val="0"/>
          <w:lang w:val="zh-TW" w:eastAsia="zh-TW"/>
        </w:rPr>
        <w:t>屆</w:t>
      </w:r>
      <w:r>
        <w:rPr>
          <w:rFonts w:ascii="標楷體" w:hAnsi="標楷體"/>
          <w:rtl w:val="0"/>
          <w:lang w:val="en-US"/>
        </w:rPr>
        <w:t>)</w:t>
      </w:r>
      <w:r>
        <w:rPr>
          <w:rFonts w:eastAsia="標楷體" w:hint="eastAsia"/>
          <w:rtl w:val="0"/>
          <w:lang w:val="zh-TW" w:eastAsia="zh-TW"/>
        </w:rPr>
        <w:t>及歷任理監事、會員的付出與貢獻下，持續為推動我國社會福利發展與國際交流而努力。</w:t>
      </w:r>
    </w:p>
    <w:p>
      <w:pPr>
        <w:pStyle w:val="Normal.0"/>
        <w:spacing w:line="360" w:lineRule="auto"/>
        <w:ind w:firstLine="480"/>
        <w:jc w:val="both"/>
        <w:rPr>
          <w:rFonts w:ascii="標楷體" w:cs="標楷體" w:hAnsi="標楷體" w:eastAsia="標楷體"/>
        </w:rPr>
      </w:pPr>
    </w:p>
    <w:p>
      <w:pPr>
        <w:pStyle w:val="Normal.0"/>
        <w:spacing w:line="360" w:lineRule="auto"/>
        <w:ind w:firstLine="480"/>
        <w:jc w:val="both"/>
        <w:rPr>
          <w:rFonts w:ascii="標楷體" w:cs="標楷體" w:hAnsi="標楷體" w:eastAsia="標楷體"/>
          <w:lang w:val="zh-TW" w:eastAsia="zh-TW"/>
        </w:rPr>
      </w:pPr>
      <w:r>
        <w:rPr>
          <w:rFonts w:eastAsia="標楷體" w:hint="eastAsia"/>
          <w:rtl w:val="0"/>
          <w:lang w:val="zh-TW" w:eastAsia="zh-TW"/>
        </w:rPr>
        <w:t>本會的宗旨為增進全國性和地方性社會福利機構團體之合作與協調，加強國際間社會福利及社會工作組織聯繫與合作。自成立以來，本會即積極參與國際相關活動，每年組織國內社會福利、社會工作及就業服務專業人員代表團出席全球及東北亞區域等相關會議，發表我國社會福利學術研究及實務經驗與成果，並定期組團出國考察及參訪社會福利機構，增進國內實務工作者與各國相關組織及專業人員之交流，吸取國外實務經驗，提升我國在國際社會福利領域的能見度及影響力，藉由廣泛地國際事務參與及發聲，創造更多的國際接軌平台。此外，本會亦每年舉辦社會福利學術會議、實務工作坊及專業人員培力活動、推動學術出版及政策倡議，以強化國內外社會福利議題之交流與討論，促進我國社會福利政策之規劃與實踐。</w:t>
      </w:r>
    </w:p>
    <w:p>
      <w:pPr>
        <w:pStyle w:val="Normal.0"/>
        <w:spacing w:line="360" w:lineRule="auto"/>
        <w:rPr>
          <w:rFonts w:ascii="標楷體" w:cs="標楷體" w:hAnsi="標楷體" w:eastAsia="標楷體"/>
        </w:rPr>
      </w:pPr>
    </w:p>
    <w:p>
      <w:pPr>
        <w:pStyle w:val="Normal.0"/>
        <w:spacing w:line="360" w:lineRule="auto"/>
        <w:rPr>
          <w:rFonts w:ascii="標楷體" w:cs="標楷體" w:hAnsi="標楷體" w:eastAsia="標楷體"/>
        </w:rPr>
      </w:pPr>
      <w:r>
        <w:rPr>
          <w:rFonts w:eastAsia="標楷體" w:hint="eastAsia"/>
          <w:rtl w:val="0"/>
          <w:lang w:val="zh-TW" w:eastAsia="zh-TW"/>
        </w:rPr>
        <w:t>網址：</w:t>
      </w:r>
      <w:r>
        <w:rPr>
          <w:rFonts w:ascii="標楷體" w:hAnsi="標楷體"/>
          <w:rtl w:val="0"/>
          <w:lang w:val="en-US"/>
        </w:rPr>
        <w:t>http://www.icsw.org.tw/site/</w:t>
      </w:r>
    </w:p>
    <w:p>
      <w:pPr>
        <w:pStyle w:val="Normal.0"/>
        <w:spacing w:line="360" w:lineRule="auto"/>
        <w:rPr>
          <w:rFonts w:ascii="標楷體" w:cs="標楷體" w:hAnsi="標楷體" w:eastAsia="標楷體"/>
        </w:rPr>
      </w:pPr>
      <w:r>
        <w:rPr>
          <w:rFonts w:ascii="標楷體" w:hAnsi="標楷體"/>
          <w:rtl w:val="0"/>
          <w:lang w:val="en-US"/>
        </w:rPr>
        <w:t>FB</w:t>
      </w:r>
      <w:r>
        <w:rPr>
          <w:rFonts w:eastAsia="標楷體" w:hint="eastAsia"/>
          <w:rtl w:val="0"/>
          <w:lang w:val="zh-TW" w:eastAsia="zh-TW"/>
        </w:rPr>
        <w:t>專頁：</w:t>
      </w:r>
      <w:r>
        <w:rPr>
          <w:rFonts w:ascii="標楷體" w:hAnsi="標楷體"/>
          <w:rtl w:val="0"/>
          <w:lang w:val="en-US"/>
        </w:rPr>
        <w:t>https://www.facebook.com/icsw.tw/</w:t>
      </w:r>
    </w:p>
    <w:p>
      <w:pPr>
        <w:pStyle w:val="Normal.0"/>
        <w:spacing w:line="360" w:lineRule="auto"/>
        <w:rPr>
          <w:rFonts w:ascii="標楷體" w:cs="標楷體" w:hAnsi="標楷體" w:eastAsia="標楷體"/>
        </w:rPr>
      </w:pPr>
      <w:r>
        <w:rPr>
          <w:rFonts w:eastAsia="標楷體" w:hint="eastAsia"/>
          <w:rtl w:val="0"/>
          <w:lang w:val="zh-TW" w:eastAsia="zh-TW"/>
        </w:rPr>
        <w:t>地址：台北市大安區羅斯福路四段</w:t>
      </w:r>
      <w:r>
        <w:rPr>
          <w:rFonts w:ascii="標楷體" w:hAnsi="標楷體"/>
          <w:rtl w:val="0"/>
          <w:lang w:val="en-US"/>
        </w:rPr>
        <w:t>1</w:t>
      </w:r>
      <w:r>
        <w:rPr>
          <w:rFonts w:eastAsia="標楷體" w:hint="eastAsia"/>
          <w:rtl w:val="0"/>
          <w:lang w:val="zh-TW" w:eastAsia="zh-TW"/>
        </w:rPr>
        <w:t>號台灣大學社會及社工系館</w:t>
      </w:r>
      <w:r>
        <w:rPr>
          <w:rFonts w:ascii="標楷體" w:hAnsi="標楷體"/>
          <w:rtl w:val="0"/>
          <w:lang w:val="en-US"/>
        </w:rPr>
        <w:t>R411</w:t>
      </w:r>
    </w:p>
    <w:p>
      <w:pPr>
        <w:pStyle w:val="Normal.0"/>
        <w:spacing w:line="360" w:lineRule="auto"/>
        <w:rPr>
          <w:rFonts w:ascii="標楷體" w:cs="標楷體" w:hAnsi="標楷體" w:eastAsia="標楷體"/>
        </w:rPr>
      </w:pPr>
      <w:r>
        <w:rPr>
          <w:rFonts w:eastAsia="標楷體" w:hint="eastAsia"/>
          <w:rtl w:val="0"/>
          <w:lang w:val="zh-TW" w:eastAsia="zh-TW"/>
        </w:rPr>
        <w:t>連絡電話</w:t>
      </w:r>
      <w:r>
        <w:rPr>
          <w:rFonts w:ascii="標楷體" w:hAnsi="標楷體"/>
          <w:rtl w:val="0"/>
          <w:lang w:val="en-US"/>
        </w:rPr>
        <w:t>: 0905-286-524</w:t>
      </w:r>
    </w:p>
    <w:p>
      <w:pPr>
        <w:pStyle w:val="Normal.0"/>
        <w:spacing w:line="360" w:lineRule="auto"/>
        <w:rPr>
          <w:rFonts w:ascii="標楷體" w:cs="標楷體" w:hAnsi="標楷體" w:eastAsia="標楷體"/>
        </w:rPr>
      </w:pPr>
      <w:r>
        <w:rPr>
          <w:rFonts w:eastAsia="標楷體" w:hint="eastAsia"/>
          <w:rtl w:val="0"/>
          <w:lang w:val="zh-TW" w:eastAsia="zh-TW"/>
        </w:rPr>
        <w:t>郵政劃撥帳號：</w:t>
      </w:r>
      <w:r>
        <w:rPr>
          <w:rFonts w:ascii="標楷體" w:hAnsi="標楷體"/>
          <w:rtl w:val="0"/>
          <w:lang w:val="en-US"/>
        </w:rPr>
        <w:t xml:space="preserve">01039832 </w:t>
      </w:r>
    </w:p>
    <w:p>
      <w:pPr>
        <w:pStyle w:val="Normal.0"/>
        <w:spacing w:line="360" w:lineRule="auto"/>
      </w:pPr>
      <w:r>
        <w:rPr>
          <w:rFonts w:eastAsia="標楷體" w:hint="eastAsia"/>
          <w:rtl w:val="0"/>
          <w:lang w:val="zh-TW" w:eastAsia="zh-TW"/>
        </w:rPr>
        <w:t>戶名：</w:t>
      </w:r>
      <w:r>
        <w:rPr>
          <w:rFonts w:eastAsia="標楷體" w:hint="eastAsia"/>
          <w:rtl w:val="0"/>
          <w:lang w:val="zh-TW" w:eastAsia="zh-TW"/>
        </w:rPr>
        <w:t>社團法人</w:t>
      </w:r>
      <w:r>
        <w:rPr>
          <w:rFonts w:eastAsia="標楷體" w:hint="eastAsia"/>
          <w:rtl w:val="0"/>
          <w:lang w:val="zh-TW" w:eastAsia="zh-TW"/>
        </w:rPr>
        <w:t>國際社會福利協會中華民國總會</w:t>
      </w:r>
    </w:p>
    <w:sectPr>
      <w:headerReference w:type="default" r:id="rId4"/>
      <w:footerReference w:type="default" r:id="rId5"/>
      <w:pgSz w:w="11900" w:h="16840" w:orient="portrait"/>
      <w:pgMar w:top="1440" w:right="1841" w:bottom="993"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微軟正黑體">
    <w:charset w:val="00"/>
    <w:family w:val="roman"/>
    <w:pitch w:val="default"/>
  </w:font>
  <w:font w:name="Helvetica">
    <w:charset w:val="00"/>
    <w:family w:val="roman"/>
    <w:pitch w:val="default"/>
  </w:font>
  <w:font w:name="標楷體">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頁首與頁尾"/>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ind w:left="1309"/>
    </w:pPr>
    <w:r>
      <w:drawing>
        <wp:anchor distT="152400" distB="152400" distL="152400" distR="152400" simplePos="0" relativeHeight="251658240" behindDoc="1" locked="0" layoutInCell="1" allowOverlap="1">
          <wp:simplePos x="0" y="0"/>
          <wp:positionH relativeFrom="page">
            <wp:posOffset>1146810</wp:posOffset>
          </wp:positionH>
          <wp:positionV relativeFrom="page">
            <wp:posOffset>514365</wp:posOffset>
          </wp:positionV>
          <wp:extent cx="676137" cy="676276"/>
          <wp:effectExtent l="0" t="0" r="0" b="0"/>
          <wp:wrapNone/>
          <wp:docPr id="1073741825" name="officeArt object" descr="ICSW Taiwan.jpg"/>
          <wp:cNvGraphicFramePr/>
          <a:graphic xmlns:a="http://schemas.openxmlformats.org/drawingml/2006/main">
            <a:graphicData uri="http://schemas.openxmlformats.org/drawingml/2006/picture">
              <pic:pic xmlns:pic="http://schemas.openxmlformats.org/drawingml/2006/picture">
                <pic:nvPicPr>
                  <pic:cNvPr id="1073741825" name="ICSW Taiwan.jpg" descr="ICSW Taiwan.jpg"/>
                  <pic:cNvPicPr>
                    <a:picLocks noChangeAspect="1"/>
                  </pic:cNvPicPr>
                </pic:nvPicPr>
                <pic:blipFill>
                  <a:blip r:embed="rId1">
                    <a:extLst/>
                  </a:blip>
                  <a:srcRect l="0" t="5706" r="0" b="13243"/>
                  <a:stretch>
                    <a:fillRect/>
                  </a:stretch>
                </pic:blipFill>
                <pic:spPr>
                  <a:xfrm>
                    <a:off x="0" y="0"/>
                    <a:ext cx="676137" cy="676276"/>
                  </a:xfrm>
                  <a:prstGeom prst="rect">
                    <a:avLst/>
                  </a:prstGeom>
                  <a:ln w="12700" cap="flat">
                    <a:noFill/>
                    <a:miter lim="400000"/>
                  </a:ln>
                  <a:effectLst/>
                </pic:spPr>
              </pic:pic>
            </a:graphicData>
          </a:graphic>
        </wp:anchor>
      </w:drawing>
    </w:r>
    <w:r>
      <w:rPr>
        <w:rtl w:val="0"/>
      </w:rPr>
      <w:t xml:space="preserve"> </w:t>
    </w:r>
  </w:p>
  <w:p>
    <w:pPr>
      <w:pStyle w:val="header"/>
      <w:ind w:left="1309"/>
    </w:pPr>
  </w:p>
  <w:p>
    <w:pPr>
      <w:pStyle w:val="header"/>
      <w:ind w:left="1309"/>
      <w:rPr>
        <w:rFonts w:ascii="Arial" w:cs="Arial" w:hAnsi="Arial" w:eastAsia="Arial"/>
        <w:sz w:val="22"/>
        <w:szCs w:val="22"/>
        <w:u w:color="2e74b5"/>
      </w:rPr>
    </w:pPr>
    <w:r>
      <w:rPr>
        <w:rFonts w:ascii="微軟正黑體" w:cs="微軟正黑體" w:hAnsi="微軟正黑體" w:eastAsia="微軟正黑體"/>
        <w:sz w:val="22"/>
        <w:szCs w:val="22"/>
        <w:u w:color="2e74b5"/>
        <w:rtl w:val="0"/>
        <w:lang w:val="zh-TW" w:eastAsia="zh-TW"/>
      </w:rPr>
      <w:t>國際社會福利協會中華民國總會</w:t>
    </w:r>
    <w:r>
      <w:rPr>
        <w:rFonts w:ascii="Arial" w:hAnsi="Arial"/>
        <w:sz w:val="22"/>
        <w:szCs w:val="22"/>
        <w:u w:color="2e74b5"/>
        <w:rtl w:val="0"/>
        <w:lang w:val="en-US"/>
      </w:rPr>
      <w:t xml:space="preserve"> </w:t>
    </w:r>
  </w:p>
  <w:p>
    <w:pPr>
      <w:pStyle w:val="header"/>
      <w:ind w:left="1309"/>
      <w:rPr>
        <w:rFonts w:ascii="Times New Roman" w:cs="Times New Roman" w:hAnsi="Times New Roman" w:eastAsia="Times New Roman"/>
        <w:sz w:val="22"/>
        <w:szCs w:val="22"/>
        <w:u w:color="2e74b5"/>
      </w:rPr>
    </w:pPr>
    <w:r>
      <w:rPr>
        <w:rFonts w:ascii="Times New Roman" w:hAnsi="Times New Roman"/>
        <w:sz w:val="22"/>
        <w:szCs w:val="22"/>
        <w:u w:color="2e74b5"/>
        <w:rtl w:val="0"/>
        <w:lang w:val="en-US"/>
      </w:rPr>
      <w:t>The Council of Social Welfare, Taiwan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8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153"/>
        <w:tab w:val="right" w:pos="830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20"/>
      <w:szCs w:val="20"/>
      <w:u w:val="none" w:color="000000"/>
      <w:vertAlign w:val="baseline"/>
      <w:lang w:val="en-US"/>
    </w:r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佈景主題">
  <a:themeElements>
    <a:clrScheme name="Office 佈景主題">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佈景主題">
      <a:majorFont>
        <a:latin typeface="Helvetica"/>
        <a:ea typeface="Helvetica"/>
        <a:cs typeface="Helvetica"/>
      </a:majorFont>
      <a:minorFont>
        <a:latin typeface="Helvetica"/>
        <a:ea typeface="Helvetica"/>
        <a:cs typeface="Helvetica"/>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